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8"/>
          <w:tab w:val="left" w:pos="1053" w:leader="none"/>
        </w:tabs>
        <w:spacing w:lineRule="exact" w:line="320"/>
        <w:ind w:right="180" w:hanging="0"/>
        <w:jc w:val="right"/>
        <w:rPr/>
      </w:pPr>
      <w:r>
        <w:rPr/>
        <w:t xml:space="preserve">                                                                                                                           </w:t>
      </w:r>
      <w:r>
        <w:rPr/>
        <w:t>Приложение 6</w:t>
      </w:r>
    </w:p>
    <w:p>
      <w:pPr>
        <w:pStyle w:val="Normal"/>
        <w:tabs>
          <w:tab w:val="clear" w:pos="708"/>
          <w:tab w:val="left" w:pos="1260" w:leader="none"/>
        </w:tabs>
        <w:ind w:left="1260" w:hanging="1080"/>
        <w:jc w:val="right"/>
        <w:rPr/>
      </w:pPr>
      <w:r>
        <w:rPr>
          <w:rFonts w:cs="Arial"/>
          <w:szCs w:val="28"/>
        </w:rPr>
        <w:t>к Техническим требованиям</w:t>
      </w:r>
      <w:r>
        <w:rPr/>
        <w:t xml:space="preserve"> </w:t>
      </w:r>
    </w:p>
    <w:p>
      <w:pPr>
        <w:pStyle w:val="Normal"/>
        <w:ind w:left="5245" w:hanging="0"/>
        <w:jc w:val="both"/>
        <w:rPr>
          <w:b/>
          <w:bCs/>
        </w:rPr>
      </w:pPr>
      <w:r>
        <w:rPr>
          <w:rFonts w:eastAsia="Calibri"/>
          <w:lang w:eastAsia="en-US"/>
        </w:rPr>
        <w:t>«ОКПД2 25.11.</w:t>
      </w:r>
      <w:r>
        <w:rPr>
          <w:rFonts w:eastAsia="Calibri"/>
          <w:lang w:eastAsia="en-US"/>
        </w:rPr>
        <w:t>23.114</w:t>
      </w:r>
      <w:r>
        <w:rPr>
          <w:rFonts w:eastAsia="Calibri"/>
          <w:lang w:eastAsia="en-US"/>
        </w:rPr>
        <w:t>. Поставка, сборка и монтаж затворов водосливной плотины №№1,3 и затворов байпаса спиральной камеры №№4,9,14, поставка, укрупненная сборка и замена решеток сороудерживающего сооружения №№19,20 Жигулевской ГЭС</w:t>
      </w:r>
      <w:bookmarkStart w:id="0" w:name="_GoBack"/>
      <w:bookmarkEnd w:id="0"/>
      <w:r>
        <w:rPr>
          <w:rFonts w:eastAsia="Calibri"/>
          <w:lang w:eastAsia="en-US"/>
        </w:rPr>
        <w:t>»</w:t>
      </w:r>
    </w:p>
    <w:p>
      <w:pPr>
        <w:pStyle w:val="ConsPlusNormal"/>
        <w:widowControl/>
        <w:tabs>
          <w:tab w:val="clear" w:pos="708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widowControl/>
        <w:tabs>
          <w:tab w:val="clear" w:pos="708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Требования в области охраны окружающей среды </w:t>
      </w:r>
    </w:p>
    <w:p>
      <w:pPr>
        <w:pStyle w:val="ConsPlusNormal"/>
        <w:widowControl/>
        <w:tabs>
          <w:tab w:val="clear" w:pos="708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к подрядным организациям, выполняющим работы </w:t>
      </w:r>
    </w:p>
    <w:p>
      <w:pPr>
        <w:pStyle w:val="ConsPlusNormal"/>
        <w:widowControl/>
        <w:tabs>
          <w:tab w:val="clear" w:pos="708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(строительные, монтажные, ремонтные и др.) </w:t>
      </w:r>
    </w:p>
    <w:p>
      <w:pPr>
        <w:pStyle w:val="ConsPlusNormal"/>
        <w:widowControl/>
        <w:tabs>
          <w:tab w:val="clear" w:pos="708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на территории Филиала ПАО «РусГидро» - «Жигулевская ГЭС»</w:t>
      </w:r>
    </w:p>
    <w:p>
      <w:pPr>
        <w:pStyle w:val="ConsPlusNormal"/>
        <w:widowControl/>
        <w:tabs>
          <w:tab w:val="clear" w:pos="708"/>
          <w:tab w:val="left" w:pos="0" w:leader="none"/>
        </w:tabs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5"/>
        </w:numPr>
        <w:ind w:left="0" w:firstLine="709"/>
        <w:jc w:val="both"/>
        <w:outlineLvl w:val="0"/>
        <w:rPr/>
      </w:pPr>
      <w:r>
        <w:rPr>
          <w:bCs/>
        </w:rPr>
        <w:t>Наличие документов в области охраны окружающей среды</w:t>
      </w:r>
    </w:p>
    <w:p>
      <w:pPr>
        <w:pStyle w:val="Normal"/>
        <w:numPr>
          <w:ilvl w:val="1"/>
          <w:numId w:val="6"/>
        </w:numPr>
        <w:ind w:left="0" w:firstLine="709"/>
        <w:jc w:val="both"/>
        <w:outlineLvl w:val="0"/>
        <w:rPr/>
      </w:pPr>
      <w:r>
        <w:rPr/>
        <w:t>Свидетельства (сертификаты) на право работы с отходами I - IV класса опасности</w:t>
      </w:r>
      <w:r>
        <w:rPr>
          <w:bCs/>
        </w:rPr>
        <w:t xml:space="preserve"> у л</w:t>
      </w:r>
      <w:r>
        <w:rPr/>
        <w:t>иц, допущенных к обращению с отходами I - IV класса опасности (требование Федерального закона от 24.06.1998 № 89-ФЗ «Об отходах производства и потребления»).</w:t>
      </w:r>
    </w:p>
    <w:p>
      <w:pPr>
        <w:pStyle w:val="Normal"/>
        <w:numPr>
          <w:ilvl w:val="1"/>
          <w:numId w:val="4"/>
        </w:numPr>
        <w:ind w:left="0" w:firstLine="709"/>
        <w:jc w:val="both"/>
        <w:outlineLvl w:val="0"/>
        <w:rPr/>
      </w:pPr>
      <w:r>
        <w:rPr/>
        <w:t>Разрешение на выброс вредных (загрязняющих) веществ в атмосферный воздух от оборудования, используемого при выполнении работ по договору и являющегося собственностью исполнителя работ (требование Федерального закона от 04.05.1999 № 96-ФЗ «Об охране атмосферного воздуха»).</w:t>
      </w:r>
    </w:p>
    <w:p>
      <w:pPr>
        <w:pStyle w:val="Normal"/>
        <w:numPr>
          <w:ilvl w:val="1"/>
          <w:numId w:val="4"/>
        </w:numPr>
        <w:ind w:left="0" w:firstLine="709"/>
        <w:jc w:val="both"/>
        <w:outlineLvl w:val="0"/>
        <w:rPr/>
      </w:pPr>
      <w:r>
        <w:rPr/>
        <w:t>Лицензия по сбору, транспортированию, обработке, утилизации, обезвреживанию, размещению отходов I - IV классов (Федеральный закон от 24.06.1998 № 89-ФЗ «Об отходах производства и потребления», от 04.05.2011 № 99-ФЗ «О лицензировании отдельных видов деятельности») в случае если в процессе своей работы организация осуществляет деятельность по обращению с отходами, подлежащую лицензированию.</w:t>
      </w:r>
    </w:p>
    <w:p>
      <w:pPr>
        <w:pStyle w:val="Normal"/>
        <w:numPr>
          <w:ilvl w:val="1"/>
          <w:numId w:val="4"/>
        </w:numPr>
        <w:ind w:left="0" w:firstLine="709"/>
        <w:jc w:val="both"/>
        <w:outlineLvl w:val="0"/>
        <w:rPr/>
      </w:pPr>
      <w:r>
        <w:rPr/>
        <w:t>Сертификаты соответствия применяемой на территории Филиала ПАО «РусГидро» - «Жигулевская ГЭС» продукции, подлежащей обязательной сертификации (требование Федерального закона от 27.12.2002 № 184-ФЗ «О техническом регулировании»).</w:t>
      </w:r>
    </w:p>
    <w:p>
      <w:pPr>
        <w:pStyle w:val="Normal"/>
        <w:numPr>
          <w:ilvl w:val="1"/>
          <w:numId w:val="4"/>
        </w:numPr>
        <w:ind w:left="0" w:firstLine="709"/>
        <w:jc w:val="both"/>
        <w:outlineLvl w:val="0"/>
        <w:rPr/>
      </w:pPr>
      <w:r>
        <w:rPr/>
        <w:t>Декларация о соответствии применяемой на территории Филиала ПАО «РусГидро» - «Жигулевская ГЭС» продукции, подтверждение соответствия которой осуществляется в форме принятия декларации о соответствии (требование Федерального закона от 27.12.2002 № 184-ФЗ «О техническом регулировании»).</w:t>
      </w:r>
    </w:p>
    <w:p>
      <w:pPr>
        <w:pStyle w:val="Normal"/>
        <w:numPr>
          <w:ilvl w:val="1"/>
          <w:numId w:val="4"/>
        </w:numPr>
        <w:ind w:left="0" w:firstLine="709"/>
        <w:jc w:val="both"/>
        <w:outlineLvl w:val="0"/>
        <w:rPr/>
      </w:pPr>
      <w:r>
        <w:rPr/>
        <w:t>Санитарно-эпидемиологические заключения о соответствии государственным санитарно-эпидемиологическим правилам и нормативам видов деятельности (работ, услуг), продукции, проектной документации (требование Приказа Роспотребнадзора от 19.07.2007 № 224 «О санитарно-эпидемиологических экспертизах, обследованиях, исследованиях, испытаниях и токсикологических, гигиенических и иных видах оценок»).</w:t>
      </w:r>
    </w:p>
    <w:p>
      <w:pPr>
        <w:pStyle w:val="Normal"/>
        <w:numPr>
          <w:ilvl w:val="0"/>
          <w:numId w:val="0"/>
        </w:numPr>
        <w:ind w:left="709" w:hanging="0"/>
        <w:jc w:val="both"/>
        <w:outlineLvl w:val="0"/>
        <w:rPr/>
      </w:pPr>
      <w:r>
        <w:rPr/>
      </w:r>
    </w:p>
    <w:p>
      <w:pPr>
        <w:pStyle w:val="Normal"/>
        <w:numPr>
          <w:ilvl w:val="0"/>
          <w:numId w:val="7"/>
        </w:numPr>
        <w:ind w:left="0" w:firstLine="709"/>
        <w:jc w:val="both"/>
        <w:outlineLvl w:val="0"/>
        <w:rPr/>
      </w:pPr>
      <w:r>
        <w:rPr/>
        <w:t>Требования в области охраны окружающей среды при выполнении работ:</w:t>
      </w:r>
    </w:p>
    <w:p>
      <w:pPr>
        <w:pStyle w:val="Normal"/>
        <w:numPr>
          <w:ilvl w:val="1"/>
          <w:numId w:val="8"/>
        </w:numPr>
        <w:ind w:left="0" w:firstLine="709"/>
        <w:jc w:val="both"/>
        <w:outlineLvl w:val="0"/>
        <w:rPr/>
      </w:pPr>
      <w:r>
        <w:rPr/>
        <w:t>Персонал Подрядчика обеспечивает поддержание чистоты в местах производства работ (на рабочих местах), своевременную уборку указанной (выделенной) Заказчиком площадки производства работ.</w:t>
      </w:r>
    </w:p>
    <w:p>
      <w:pPr>
        <w:pStyle w:val="Normal"/>
        <w:numPr>
          <w:ilvl w:val="1"/>
          <w:numId w:val="9"/>
        </w:numPr>
        <w:ind w:left="0" w:firstLine="709"/>
        <w:jc w:val="both"/>
        <w:outlineLvl w:val="0"/>
        <w:rPr/>
      </w:pPr>
      <w:r>
        <w:rPr/>
        <w:t xml:space="preserve">Перед выполнением работ персонал подрядной организации должен быть ознакомлен с Инструкцией по обращению с отходами производства и потребления в Филиале ПАО «РусГидро» - «Жигулевская ГЭС». Факт ознакомления должен быть задокументирован в произвольной форме (например, на обороте Инструкции). Копия Инструкции выдаётся техническим куратором. </w:t>
      </w:r>
    </w:p>
    <w:p>
      <w:pPr>
        <w:pStyle w:val="Normal"/>
        <w:numPr>
          <w:ilvl w:val="1"/>
          <w:numId w:val="10"/>
        </w:numPr>
        <w:ind w:left="0" w:firstLine="709"/>
        <w:jc w:val="both"/>
        <w:outlineLvl w:val="0"/>
        <w:rPr/>
      </w:pPr>
      <w:r>
        <w:rPr/>
        <w:t xml:space="preserve">Временное накопление отходов, образующихся в процессе выполнения работ, осуществляется в месте производства работ в соответствии с санитарными требованиями и требованиями в области охраны окружающей среды к накоплению отходов, установленными законодательством Российской Федерации и Инструкцией по обращению с отходами производства и потребления в Филиале ПАО «РусГидро» - «Жигулевская ГЭС». </w:t>
      </w:r>
    </w:p>
    <w:p>
      <w:pPr>
        <w:pStyle w:val="Normal"/>
        <w:numPr>
          <w:ilvl w:val="1"/>
          <w:numId w:val="11"/>
        </w:numPr>
        <w:ind w:left="0" w:firstLine="709"/>
        <w:jc w:val="both"/>
        <w:outlineLvl w:val="0"/>
        <w:rPr/>
      </w:pPr>
      <w:r>
        <w:rPr/>
        <w:t xml:space="preserve">По окончании работ Подрядчик перемещает временно накопленные на месте производства работ отходы в указанные Заказчиком места накопления отходов на его территории. </w:t>
      </w:r>
    </w:p>
    <w:p>
      <w:pPr>
        <w:pStyle w:val="Normal"/>
        <w:numPr>
          <w:ilvl w:val="1"/>
          <w:numId w:val="12"/>
        </w:numPr>
        <w:ind w:left="0" w:firstLine="709"/>
        <w:jc w:val="both"/>
        <w:outlineLvl w:val="0"/>
        <w:rPr/>
      </w:pPr>
      <w:r>
        <w:rPr/>
        <w:t>Не допускается накопление отходов сверх объёма, который вмещает место накопления отходов.</w:t>
      </w:r>
    </w:p>
    <w:p>
      <w:pPr>
        <w:pStyle w:val="Normal"/>
        <w:numPr>
          <w:ilvl w:val="1"/>
          <w:numId w:val="13"/>
        </w:numPr>
        <w:ind w:left="0" w:firstLine="709"/>
        <w:jc w:val="both"/>
        <w:outlineLvl w:val="0"/>
        <w:rPr/>
      </w:pPr>
      <w:r>
        <w:rPr/>
        <w:t>Для накопления отходов используются собственные контейнеры подрядной организации. На контейнеры должна быть нанесена маркировка в соответствии с требованиями Инструкции по обращению с отходами производства и потребления в Филиале ПАО «РусГидро» - «Жигулевская ГЭС».</w:t>
      </w:r>
    </w:p>
    <w:p>
      <w:pPr>
        <w:pStyle w:val="Normal"/>
        <w:numPr>
          <w:ilvl w:val="1"/>
          <w:numId w:val="14"/>
        </w:numPr>
        <w:ind w:left="0" w:firstLine="708"/>
        <w:jc w:val="both"/>
        <w:outlineLvl w:val="0"/>
        <w:rPr/>
      </w:pPr>
      <w:r>
        <w:rPr/>
        <w:t>Подрядчик обеспечивает своевременное удаление образовавшихся в процессе производства работ отходов из мест накопления отходов на территории Заказчика на объекты размещения/захоронения отходов, за исключением отходов, подлежащих обезвреживанию и утилизации, указанных в п. 2.8., 2.9. настоящих требований, по Договорам Заказчика в соответствии с требованиями законодательства РФ. При этом затраты на погрузку и транспортирование отходов на объекты размещения/захоронения отходов включаются в смету затрат по договору. Количество (тонн), класс опасности отходов указывается в ведомости объема работ по договору. Перечень отходов, подлежащих захоронению, приведен в приложении № 1 п. 1 к данным требованиям.</w:t>
      </w:r>
    </w:p>
    <w:p>
      <w:pPr>
        <w:pStyle w:val="Normal"/>
        <w:numPr>
          <w:ilvl w:val="1"/>
          <w:numId w:val="15"/>
        </w:numPr>
        <w:ind w:left="0" w:firstLine="709"/>
        <w:jc w:val="both"/>
        <w:outlineLvl w:val="0"/>
        <w:rPr/>
      </w:pPr>
      <w:r>
        <w:rPr/>
        <w:t>Образовавшиеся в процессе выполнения работ отходы, подлежащие продаже специализированным организациям для обезвреживания и утилизации (металлический лом, отработанные технические масла и т.д.), являются собственностью Заказчика и передаются Заказчику в соответствии с Положением о порядке заготовки и реализации вторичного сырья.  Перечень отходов, подлежащих утилизации через продажу приведен в приложении № 1, п. 2 к данным требованиям.</w:t>
      </w:r>
    </w:p>
    <w:p>
      <w:pPr>
        <w:pStyle w:val="Normal"/>
        <w:numPr>
          <w:ilvl w:val="1"/>
          <w:numId w:val="16"/>
        </w:numPr>
        <w:ind w:left="0" w:firstLine="709"/>
        <w:jc w:val="both"/>
        <w:outlineLvl w:val="0"/>
        <w:rPr/>
      </w:pPr>
      <w:r>
        <w:rPr/>
        <w:t>Образовавшиеся в процессе выполнения работ отходы, подлежащие утилизации (без продажи) передаются Заказчику в соответствии с требованиями Инструкции по обращению с отходами производства и потребления в Филиале ПАО «РусГидро» - «Жигулевская ГЭС». Перечень отходов, подлежащих утилизации (без продажи) приведен в приложении № 1 п. 3 к данным требованиям.</w:t>
      </w:r>
    </w:p>
    <w:p>
      <w:pPr>
        <w:pStyle w:val="Normal"/>
        <w:numPr>
          <w:ilvl w:val="1"/>
          <w:numId w:val="17"/>
        </w:numPr>
        <w:ind w:left="0" w:firstLine="709"/>
        <w:jc w:val="both"/>
        <w:outlineLvl w:val="0"/>
        <w:rPr/>
      </w:pPr>
      <w:r>
        <w:rPr/>
        <w:t>Отходы, образующиеся в результате деятельности Подрядчика, не связанной с исполнением работ, в том числе отходы, образующиеся в результате административно-хозяйственной деятельности персонала Подрядчика на территории Филиала, являются собственностью Подрядчика. Деятельность по обращению с такими отходами, а также связанная с этим ответственность, является обязанностью Подрядчика.</w:t>
      </w:r>
    </w:p>
    <w:p>
      <w:pPr>
        <w:pStyle w:val="Normal"/>
        <w:numPr>
          <w:ilvl w:val="1"/>
          <w:numId w:val="18"/>
        </w:numPr>
        <w:ind w:left="0" w:firstLine="709"/>
        <w:jc w:val="both"/>
        <w:outlineLvl w:val="0"/>
        <w:rPr/>
      </w:pPr>
      <w:r>
        <w:rPr/>
        <w:t xml:space="preserve">До начала выполнения работ подрядной организацией должен быть разработан проект производства работ. Копию Порядка разработки и согласования проектов производства работ выдаёт технический куратор. </w:t>
      </w:r>
    </w:p>
    <w:p>
      <w:pPr>
        <w:pStyle w:val="Normal"/>
        <w:numPr>
          <w:ilvl w:val="1"/>
          <w:numId w:val="19"/>
        </w:numPr>
        <w:ind w:left="0" w:firstLine="709"/>
        <w:jc w:val="both"/>
        <w:outlineLvl w:val="0"/>
        <w:rPr/>
      </w:pPr>
      <w:r>
        <w:rPr/>
        <w:t>При выполнении работ по объектам капитального строительства производственного и непроизводственного назначения в обязательном порядке выполняются мероприятия проектной документации, содержащиеся в разделе «Перечень мероприятий по охране окружающей среды». Данные мероприятия должны быть включены в проект производства работ.</w:t>
      </w:r>
    </w:p>
    <w:p>
      <w:pPr>
        <w:pStyle w:val="Normal"/>
        <w:numPr>
          <w:ilvl w:val="1"/>
          <w:numId w:val="20"/>
        </w:numPr>
        <w:ind w:left="0" w:firstLine="709"/>
        <w:jc w:val="both"/>
        <w:outlineLvl w:val="0"/>
        <w:rPr/>
      </w:pPr>
      <w:r>
        <w:rPr/>
        <w:t>Транспортировка опасных грузов (любые вещества, материалы, изделия, отходы, которые могут при их перевозке создать угрозу для жизни и здоровья людей, нанести вред окружающей природной среде) должна осуществляться в соответствии с Правилами перевозок грузов автомобильным транспортом (утв. Постановлением Правительства РФ от 21.12.2020 № 2200).</w:t>
      </w:r>
    </w:p>
    <w:p>
      <w:pPr>
        <w:pStyle w:val="Normal"/>
        <w:numPr>
          <w:ilvl w:val="1"/>
          <w:numId w:val="21"/>
        </w:numPr>
        <w:ind w:left="0" w:firstLine="709"/>
        <w:jc w:val="both"/>
        <w:outlineLvl w:val="0"/>
        <w:rPr/>
      </w:pPr>
      <w:r>
        <w:rPr/>
        <w:t xml:space="preserve">В процессе выполнения ремонтных работ сдача вторичного сырья осуществляется согласно Положению о порядке заготовки и реализации вторичного сырья. Копию Положения выдаёт технический куратор. </w:t>
      </w:r>
    </w:p>
    <w:p>
      <w:pPr>
        <w:pStyle w:val="Normal"/>
        <w:numPr>
          <w:ilvl w:val="0"/>
          <w:numId w:val="22"/>
        </w:numPr>
        <w:ind w:left="0" w:firstLine="709"/>
        <w:jc w:val="both"/>
        <w:outlineLvl w:val="0"/>
        <w:rPr/>
      </w:pPr>
      <w:r>
        <w:rPr/>
        <w:t>За несоблюдение требований в области охраны окружающей среды Филиалом ПАО «РусГидро» - «Жигулевская ГЭС» предусмотрено применение штрафных санкций к подрядной организации.</w:t>
      </w:r>
    </w:p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ind w:firstLine="540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lang w:val="en-US"/>
        </w:rPr>
      </w:pPr>
      <w:r>
        <w:rPr/>
        <w:drawing>
          <wp:inline distT="0" distB="0" distL="0" distR="0">
            <wp:extent cx="5562600" cy="951547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951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nextPage"/>
      <w:pgSz w:w="11906" w:h="16838"/>
      <w:pgMar w:left="1701" w:right="850" w:gutter="0" w:header="0" w:top="1134" w:footer="0" w:bottom="71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  <w:font w:name="Verdana">
    <w:charset w:val="01"/>
    <w:family w:val="roman"/>
    <w:pitch w:val="variable"/>
  </w:font>
  <w:font w:name="Tahoma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068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/>
    </w:lvl>
  </w:abstractNum>
  <w:abstractNum w:abstractNumId="3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900" w:hanging="360"/>
      </w:pPr>
      <w:rPr>
        <w:rFonts w:ascii="Times New Roman" w:hAnsi="Times New Roman" w:eastAsia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69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9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67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96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6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994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63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92" w:hanging="180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069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</w:num>
  <w:num w:numId="7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360" w:hanging="360"/>
        </w:pPr>
        <w:rPr/>
      </w:lvl>
    </w:lvlOverride>
    <w:lvlOverride w:ilvl="0">
      <w:startOverride w:val="1"/>
    </w:lvlOverride>
    <w:lvlOverride w:ilvl="1">
      <w:lvl w:ilvl="1">
        <w:start w:val="1"/>
        <w:numFmt w:val="decimal"/>
        <w:suff w:val="space"/>
        <w:lvlText w:val="%1.%2."/>
        <w:lvlJc w:val="left"/>
        <w:pPr>
          <w:tabs>
            <w:tab w:val="num" w:pos="0"/>
          </w:tabs>
          <w:ind w:left="1068" w:hanging="360"/>
        </w:pPr>
        <w:rPr/>
      </w:lvl>
    </w:lvlOverride>
  </w:num>
  <w:num w:numId="8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360" w:hanging="360"/>
        </w:pPr>
        <w:rPr/>
      </w:lvl>
    </w:lvlOverride>
    <w:lvlOverride w:ilvl="0">
      <w:startOverride w:val="1"/>
    </w:lvlOverride>
    <w:lvlOverride w:ilvl="1">
      <w:lvl w:ilvl="1">
        <w:start w:val="1"/>
        <w:numFmt w:val="decimal"/>
        <w:suff w:val="space"/>
        <w:lvlText w:val="%1.%2."/>
        <w:lvlJc w:val="left"/>
        <w:pPr>
          <w:tabs>
            <w:tab w:val="num" w:pos="0"/>
          </w:tabs>
          <w:ind w:left="1068" w:hanging="360"/>
        </w:pPr>
        <w:rPr/>
      </w:lvl>
    </w:lvlOverride>
  </w:num>
  <w:num w:numId="9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360" w:hanging="360"/>
        </w:pPr>
        <w:rPr/>
      </w:lvl>
    </w:lvlOverride>
    <w:lvlOverride w:ilvl="0">
      <w:startOverride w:val="1"/>
    </w:lvlOverride>
    <w:lvlOverride w:ilvl="1">
      <w:lvl w:ilvl="1">
        <w:start w:val="1"/>
        <w:numFmt w:val="decimal"/>
        <w:suff w:val="space"/>
        <w:lvlText w:val="%1.%2."/>
        <w:lvlJc w:val="left"/>
        <w:pPr>
          <w:tabs>
            <w:tab w:val="num" w:pos="0"/>
          </w:tabs>
          <w:ind w:left="1068" w:hanging="360"/>
        </w:pPr>
        <w:rPr/>
      </w:lvl>
    </w:lvlOverride>
  </w:num>
  <w:num w:numId="10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360" w:hanging="360"/>
        </w:pPr>
        <w:rPr/>
      </w:lvl>
    </w:lvlOverride>
    <w:lvlOverride w:ilvl="0">
      <w:startOverride w:val="1"/>
    </w:lvlOverride>
    <w:lvlOverride w:ilvl="1">
      <w:lvl w:ilvl="1">
        <w:start w:val="1"/>
        <w:numFmt w:val="decimal"/>
        <w:suff w:val="space"/>
        <w:lvlText w:val="%1.%2."/>
        <w:lvlJc w:val="left"/>
        <w:pPr>
          <w:tabs>
            <w:tab w:val="num" w:pos="0"/>
          </w:tabs>
          <w:ind w:left="1068" w:hanging="360"/>
        </w:pPr>
        <w:rPr/>
      </w:lvl>
    </w:lvlOverride>
  </w:num>
  <w:num w:numId="11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360" w:hanging="360"/>
        </w:pPr>
        <w:rPr/>
      </w:lvl>
    </w:lvlOverride>
    <w:lvlOverride w:ilvl="0">
      <w:startOverride w:val="1"/>
    </w:lvlOverride>
    <w:lvlOverride w:ilvl="1">
      <w:lvl w:ilvl="1">
        <w:start w:val="1"/>
        <w:numFmt w:val="decimal"/>
        <w:suff w:val="space"/>
        <w:lvlText w:val="%1.%2."/>
        <w:lvlJc w:val="left"/>
        <w:pPr>
          <w:tabs>
            <w:tab w:val="num" w:pos="0"/>
          </w:tabs>
          <w:ind w:left="1068" w:hanging="360"/>
        </w:pPr>
        <w:rPr/>
      </w:lvl>
    </w:lvlOverride>
  </w:num>
  <w:num w:numId="12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360" w:hanging="360"/>
        </w:pPr>
        <w:rPr/>
      </w:lvl>
    </w:lvlOverride>
    <w:lvlOverride w:ilvl="0">
      <w:startOverride w:val="1"/>
    </w:lvlOverride>
    <w:lvlOverride w:ilvl="1">
      <w:lvl w:ilvl="1">
        <w:start w:val="1"/>
        <w:numFmt w:val="decimal"/>
        <w:suff w:val="space"/>
        <w:lvlText w:val="%1.%2."/>
        <w:lvlJc w:val="left"/>
        <w:pPr>
          <w:tabs>
            <w:tab w:val="num" w:pos="0"/>
          </w:tabs>
          <w:ind w:left="1068" w:hanging="360"/>
        </w:pPr>
        <w:rPr/>
      </w:lvl>
    </w:lvlOverride>
  </w:num>
  <w:num w:numId="13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360" w:hanging="360"/>
        </w:pPr>
        <w:rPr/>
      </w:lvl>
    </w:lvlOverride>
    <w:lvlOverride w:ilvl="0">
      <w:startOverride w:val="1"/>
    </w:lvlOverride>
    <w:lvlOverride w:ilvl="1">
      <w:lvl w:ilvl="1">
        <w:start w:val="1"/>
        <w:numFmt w:val="decimal"/>
        <w:suff w:val="space"/>
        <w:lvlText w:val="%1.%2."/>
        <w:lvlJc w:val="left"/>
        <w:pPr>
          <w:tabs>
            <w:tab w:val="num" w:pos="0"/>
          </w:tabs>
          <w:ind w:left="1068" w:hanging="360"/>
        </w:pPr>
        <w:rPr/>
      </w:lvl>
    </w:lvlOverride>
  </w:num>
  <w:num w:numId="14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360" w:hanging="360"/>
        </w:pPr>
        <w:rPr/>
      </w:lvl>
    </w:lvlOverride>
    <w:lvlOverride w:ilvl="0">
      <w:startOverride w:val="1"/>
    </w:lvlOverride>
    <w:lvlOverride w:ilvl="1">
      <w:lvl w:ilvl="1">
        <w:start w:val="1"/>
        <w:numFmt w:val="decimal"/>
        <w:suff w:val="space"/>
        <w:lvlText w:val="%1.%2."/>
        <w:lvlJc w:val="left"/>
        <w:pPr>
          <w:tabs>
            <w:tab w:val="num" w:pos="0"/>
          </w:tabs>
          <w:ind w:left="1068" w:hanging="360"/>
        </w:pPr>
        <w:rPr/>
      </w:lvl>
    </w:lvlOverride>
  </w:num>
  <w:num w:numId="15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360" w:hanging="360"/>
        </w:pPr>
        <w:rPr/>
      </w:lvl>
    </w:lvlOverride>
    <w:lvlOverride w:ilvl="0">
      <w:startOverride w:val="1"/>
    </w:lvlOverride>
    <w:lvlOverride w:ilvl="1">
      <w:lvl w:ilvl="1">
        <w:start w:val="1"/>
        <w:numFmt w:val="decimal"/>
        <w:suff w:val="space"/>
        <w:lvlText w:val="%1.%2."/>
        <w:lvlJc w:val="left"/>
        <w:pPr>
          <w:tabs>
            <w:tab w:val="num" w:pos="0"/>
          </w:tabs>
          <w:ind w:left="1068" w:hanging="360"/>
        </w:pPr>
        <w:rPr/>
      </w:lvl>
    </w:lvlOverride>
  </w:num>
  <w:num w:numId="16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360" w:hanging="360"/>
        </w:pPr>
        <w:rPr/>
      </w:lvl>
    </w:lvlOverride>
    <w:lvlOverride w:ilvl="0">
      <w:startOverride w:val="1"/>
    </w:lvlOverride>
    <w:lvlOverride w:ilvl="1">
      <w:lvl w:ilvl="1">
        <w:start w:val="1"/>
        <w:numFmt w:val="decimal"/>
        <w:suff w:val="space"/>
        <w:lvlText w:val="%1.%2."/>
        <w:lvlJc w:val="left"/>
        <w:pPr>
          <w:tabs>
            <w:tab w:val="num" w:pos="0"/>
          </w:tabs>
          <w:ind w:left="1068" w:hanging="360"/>
        </w:pPr>
        <w:rPr/>
      </w:lvl>
    </w:lvlOverride>
  </w:num>
  <w:num w:numId="17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360" w:hanging="360"/>
        </w:pPr>
        <w:rPr/>
      </w:lvl>
    </w:lvlOverride>
    <w:lvlOverride w:ilvl="0">
      <w:startOverride w:val="1"/>
    </w:lvlOverride>
    <w:lvlOverride w:ilvl="1">
      <w:lvl w:ilvl="1">
        <w:start w:val="1"/>
        <w:numFmt w:val="decimal"/>
        <w:suff w:val="space"/>
        <w:lvlText w:val="%1.%2."/>
        <w:lvlJc w:val="left"/>
        <w:pPr>
          <w:tabs>
            <w:tab w:val="num" w:pos="0"/>
          </w:tabs>
          <w:ind w:left="1068" w:hanging="360"/>
        </w:pPr>
        <w:rPr/>
      </w:lvl>
    </w:lvlOverride>
  </w:num>
  <w:num w:numId="18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360" w:hanging="360"/>
        </w:pPr>
        <w:rPr/>
      </w:lvl>
    </w:lvlOverride>
    <w:lvlOverride w:ilvl="0">
      <w:startOverride w:val="1"/>
    </w:lvlOverride>
    <w:lvlOverride w:ilvl="1">
      <w:lvl w:ilvl="1">
        <w:start w:val="1"/>
        <w:numFmt w:val="decimal"/>
        <w:suff w:val="space"/>
        <w:lvlText w:val="%1.%2."/>
        <w:lvlJc w:val="left"/>
        <w:pPr>
          <w:tabs>
            <w:tab w:val="num" w:pos="0"/>
          </w:tabs>
          <w:ind w:left="1068" w:hanging="360"/>
        </w:pPr>
        <w:rPr/>
      </w:lvl>
    </w:lvlOverride>
  </w:num>
  <w:num w:numId="19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360" w:hanging="360"/>
        </w:pPr>
        <w:rPr/>
      </w:lvl>
    </w:lvlOverride>
    <w:lvlOverride w:ilvl="0">
      <w:startOverride w:val="1"/>
    </w:lvlOverride>
    <w:lvlOverride w:ilvl="1">
      <w:lvl w:ilvl="1">
        <w:start w:val="1"/>
        <w:numFmt w:val="decimal"/>
        <w:suff w:val="space"/>
        <w:lvlText w:val="%1.%2."/>
        <w:lvlJc w:val="left"/>
        <w:pPr>
          <w:tabs>
            <w:tab w:val="num" w:pos="0"/>
          </w:tabs>
          <w:ind w:left="1068" w:hanging="360"/>
        </w:pPr>
        <w:rPr/>
      </w:lvl>
    </w:lvlOverride>
  </w:num>
  <w:num w:numId="20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360" w:hanging="360"/>
        </w:pPr>
        <w:rPr/>
      </w:lvl>
    </w:lvlOverride>
    <w:lvlOverride w:ilvl="0">
      <w:startOverride w:val="1"/>
    </w:lvlOverride>
    <w:lvlOverride w:ilvl="1">
      <w:lvl w:ilvl="1">
        <w:start w:val="1"/>
        <w:numFmt w:val="decimal"/>
        <w:suff w:val="space"/>
        <w:lvlText w:val="%1.%2."/>
        <w:lvlJc w:val="left"/>
        <w:pPr>
          <w:tabs>
            <w:tab w:val="num" w:pos="0"/>
          </w:tabs>
          <w:ind w:left="1068" w:hanging="360"/>
        </w:pPr>
        <w:rPr/>
      </w:lvl>
    </w:lvlOverride>
  </w:num>
  <w:num w:numId="21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360" w:hanging="360"/>
        </w:pPr>
        <w:rPr/>
      </w:lvl>
    </w:lvlOverride>
    <w:lvlOverride w:ilvl="0">
      <w:startOverride w:val="1"/>
    </w:lvlOverride>
    <w:lvlOverride w:ilvl="1">
      <w:lvl w:ilvl="1">
        <w:start w:val="1"/>
        <w:numFmt w:val="decimal"/>
        <w:suff w:val="space"/>
        <w:lvlText w:val="%1.%2."/>
        <w:lvlJc w:val="left"/>
        <w:pPr>
          <w:tabs>
            <w:tab w:val="num" w:pos="0"/>
          </w:tabs>
          <w:ind w:left="1068" w:hanging="360"/>
        </w:pPr>
        <w:rPr/>
      </w:lvl>
    </w:lvlOverride>
  </w:num>
  <w:num w:numId="22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360" w:hanging="360"/>
        </w:pPr>
        <w:rPr/>
      </w:lvl>
    </w:lvlOverride>
    <w:lvlOverride w:ilvl="0">
      <w:startOverride w:val="1"/>
    </w:lvlOverride>
    <w:lvlOverride w:ilvl="1">
      <w:lvl w:ilvl="1">
        <w:start w:val="1"/>
        <w:numFmt w:val="decimal"/>
        <w:suff w:val="space"/>
        <w:lvlText w:val="%1.%2."/>
        <w:lvlJc w:val="left"/>
        <w:pPr>
          <w:tabs>
            <w:tab w:val="num" w:pos="0"/>
          </w:tabs>
          <w:ind w:left="1068" w:hanging="360"/>
        </w:pPr>
        <w:rPr/>
      </w:lvl>
    </w:lvlOverride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a456bb"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Style11" w:customStyle="1">
    <w:name w:val="Подпункт"/>
    <w:basedOn w:val="Normal"/>
    <w:qFormat/>
    <w:rsid w:val="008b1048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 w:val="28"/>
      <w:szCs w:val="20"/>
    </w:rPr>
  </w:style>
  <w:style w:type="paragraph" w:styleId="Style12" w:customStyle="1">
    <w:name w:val="Знак"/>
    <w:basedOn w:val="Normal"/>
    <w:qFormat/>
    <w:rsid w:val="008b1048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A" w:customStyle="1">
    <w:name w:val="a"/>
    <w:basedOn w:val="Normal"/>
    <w:qFormat/>
    <w:rsid w:val="008a79a4"/>
    <w:pPr>
      <w:snapToGrid w:val="false"/>
      <w:spacing w:lineRule="auto" w:line="360"/>
      <w:ind w:left="1134" w:hanging="1134"/>
      <w:jc w:val="both"/>
    </w:pPr>
    <w:rPr>
      <w:sz w:val="28"/>
      <w:szCs w:val="28"/>
    </w:rPr>
  </w:style>
  <w:style w:type="paragraph" w:styleId="BodyText3">
    <w:name w:val="Body Text 3"/>
    <w:basedOn w:val="Normal"/>
    <w:qFormat/>
    <w:rsid w:val="008a79a4"/>
    <w:pPr>
      <w:jc w:val="both"/>
    </w:pPr>
    <w:rPr/>
  </w:style>
  <w:style w:type="paragraph" w:styleId="BalloonText">
    <w:name w:val="Balloon Text"/>
    <w:basedOn w:val="Normal"/>
    <w:semiHidden/>
    <w:qFormat/>
    <w:rsid w:val="00bc4f42"/>
    <w:pPr/>
    <w:rPr>
      <w:rFonts w:ascii="Tahoma" w:hAnsi="Tahoma" w:cs="Tahoma"/>
      <w:sz w:val="16"/>
      <w:szCs w:val="16"/>
    </w:rPr>
  </w:style>
  <w:style w:type="paragraph" w:styleId="ListBullet4">
    <w:name w:val="List Bullet 4"/>
    <w:basedOn w:val="Normal"/>
    <w:rsid w:val="00583b82"/>
    <w:pPr>
      <w:ind w:left="849" w:hanging="283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AlterOffice/3.4.0.9$Linux_X86_64 LibreOffice_project/b8daf9e823b1a5463a2f48435ddc2e8696e7d4fc</Application>
  <AppVersion>15.0000</AppVersion>
  <Pages>4</Pages>
  <Words>860</Words>
  <Characters>6188</Characters>
  <CharactersWithSpaces>7128</CharactersWithSpaces>
  <Paragraphs>31</Paragraphs>
  <Company>ЖиГЭС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2025-02-12T13:36:00Z</dcterms:created>
  <dc:creator>ShaminaEK</dc:creator>
  <dc:description/>
  <dc:language>ru-RU</dc:language>
  <cp:lastModifiedBy>krylovaev@corp.gidroogk.com</cp:lastModifiedBy>
  <cp:lastPrinted>2019-08-29T04:44:00Z</cp:lastPrinted>
  <dcterms:modified xsi:type="dcterms:W3CDTF">2026-04-08T13:30:16Z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